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Website Asset Purchase Agreement Template</w:t>
      </w:r>
    </w:p>
    <w:p>
      <w:pPr>
        <w:jc w:val="center"/>
      </w:pPr>
      <w:r>
        <w:t>Template for fixing the key terms of a website acquisition. For a large transaction, have it reviewed by a lawyer and adapt it to the country of the parties, domain registrar, payment method and asset list.</w:t>
      </w:r>
    </w:p>
    <w:p>
      <w:r>
        <w:t>City: ____________                                      Date: ____________, 20__</w:t>
      </w:r>
    </w:p>
    <w:p>
      <w:pPr>
        <w:pStyle w:val="Heading2"/>
      </w:pPr>
      <w:r>
        <w:t>1. Parties</w:t>
      </w:r>
    </w:p>
    <w:p>
      <w:r>
        <w:t>Seller: ____________________________, ID/registration/tax number: ____________________________, address/email: ____________________________.</w:t>
      </w:r>
    </w:p>
    <w:p>
      <w:r>
        <w:t>Buyer: ____________________________, ID/registration/tax number: ____________________________, address/email: ____________________________.</w:t>
      </w:r>
    </w:p>
    <w:p>
      <w:r>
        <w:t>The Parties enter into this agreement for the transfer of the website project, domain name and related digital assets.</w:t>
      </w:r>
    </w:p>
    <w:p>
      <w:pPr>
        <w:pStyle w:val="Heading2"/>
      </w:pPr>
      <w:r>
        <w:t>2. Deal object</w:t>
      </w:r>
    </w:p>
    <w:p>
      <w:r>
        <w:t>The Seller transfers the project “____________________________” on the domain ____________________________ together with all assets listed in Schedule 1.</w:t>
      </w:r>
    </w:p>
    <w:p>
      <w:r>
        <w:t>The deal object includes not only the domain, but also the website files, database, CMS/admin panel, theme/template, design, texts, images, code, settings, analytics, instructions, accounts and other transferred assets listed in Schedule 1.</w:t>
      </w:r>
    </w:p>
    <w:p>
      <w:r>
        <w:t>Any asset not listed in Schedule 1 is not included in the deal unless the Parties agree otherwise in writing.</w:t>
      </w:r>
    </w:p>
    <w:p>
      <w:pPr>
        <w:pStyle w:val="Heading2"/>
      </w:pPr>
      <w:r>
        <w:t>3. Price and payment</w:t>
      </w:r>
    </w:p>
    <w:p>
      <w:r>
        <w:t>The deal price is $__________ (____________________________ US dollars).</w:t>
      </w:r>
    </w:p>
    <w:p>
      <w:r>
        <w:t>Payment is made through: ____________________________ (escrow/platform/other method).</w:t>
      </w:r>
    </w:p>
    <w:p>
      <w:r>
        <w:t>Escrow/platform fees are paid by: Seller / Buyer / 50-50 / other: ____________________________.</w:t>
      </w:r>
    </w:p>
    <w:p>
      <w:r>
        <w:t>Funds remain blocked in escrow until the assets are transferred and checked by the Buyer. Direct payment to the Seller before transfer is not made unless otherwise agreed in writing.</w:t>
      </w:r>
    </w:p>
    <w:p>
      <w:pPr>
        <w:pStyle w:val="Heading2"/>
      </w:pPr>
      <w:r>
        <w:t>4. Transfer procedure</w:t>
      </w:r>
    </w:p>
    <w:p>
      <w:r>
        <w:t>After escrow deposit confirmation, the Seller transfers the assets listed in Schedule 1 in the following order:</w:t>
      </w:r>
    </w:p>
    <w:p>
      <w:pPr>
        <w:pStyle w:val="ListBullet"/>
      </w:pPr>
      <w:r>
        <w:t>domain: registrar push, transfer code or other transfer of administration;</w:t>
      </w:r>
    </w:p>
    <w:p>
      <w:pPr>
        <w:pStyle w:val="ListBullet"/>
      </w:pPr>
      <w:r>
        <w:t>website: files archive, database, CMS/admin access and installation/migration instructions;</w:t>
      </w:r>
    </w:p>
    <w:p>
      <w:pPr>
        <w:pStyle w:val="ListBullet"/>
      </w:pPr>
      <w:r>
        <w:t>analytics and webmaster tools: Google Analytics/GA4, Google Search Console or equivalents;</w:t>
      </w:r>
    </w:p>
    <w:p>
      <w:pPr>
        <w:pStyle w:val="ListBullet"/>
      </w:pPr>
      <w:r>
        <w:t>monetization: ad placements, affiliate accounts, instructions and list of ad blocks;</w:t>
      </w:r>
    </w:p>
    <w:p>
      <w:pPr>
        <w:pStyle w:val="ListBullet"/>
      </w:pPr>
      <w:r>
        <w:t>additional assets: social accounts, channels, email list, source files, logos, design files and ad accounts if included in Schedule 1.</w:t>
      </w:r>
    </w:p>
    <w:p>
      <w:r>
        <w:t>The Seller must provide the level of access that allows the Buyer to become the primary owner: change email, password, 2FA, phone, account owner, DNS and registrar contacts.</w:t>
      </w:r>
    </w:p>
    <w:p>
      <w:pPr>
        <w:pStyle w:val="Heading2"/>
      </w:pPr>
      <w:r>
        <w:t>5. Inspection and acceptance</w:t>
      </w:r>
    </w:p>
    <w:p>
      <w:r>
        <w:t>The inspection period is ____ business days after all assets are transferred, unless otherwise agreed in writing.</w:t>
      </w:r>
    </w:p>
    <w:p>
      <w:r>
        <w:t>The Buyer checks domain control, website and CMS access, site functionality, database, analytics, monetization, additional assets and absence of critical hidden dependencies.</w:t>
      </w:r>
    </w:p>
    <w:p>
      <w:r>
        <w:t>If all assets are transferred and functional, the Buyer confirms the release of funds to the Seller.</w:t>
      </w:r>
    </w:p>
    <w:p>
      <w:r>
        <w:t>If any listed asset is missing, access does not work or the transferred assets do not match Schedule 1, the Buyer may refuse release of funds until the problem is fixed, agree on a price reduction or cancel the deal.</w:t>
      </w:r>
    </w:p>
    <w:p>
      <w:pPr>
        <w:pStyle w:val="Heading2"/>
      </w:pPr>
      <w:r>
        <w:t>6. Seller warranties</w:t>
      </w:r>
    </w:p>
    <w:p>
      <w:r>
        <w:t>The Seller confirms that as of the signing date:</w:t>
      </w:r>
    </w:p>
    <w:p>
      <w:pPr>
        <w:pStyle w:val="ListBullet"/>
      </w:pPr>
      <w:r>
        <w:t>the Seller has the right to transfer the domain and the listed assets;</w:t>
      </w:r>
    </w:p>
    <w:p>
      <w:pPr>
        <w:pStyle w:val="ListBullet"/>
      </w:pPr>
      <w:r>
        <w:t>the Seller is not aware of third-party claims related to the domain, code, design, content, images, logos, databases or other materials;</w:t>
      </w:r>
    </w:p>
    <w:p>
      <w:pPr>
        <w:pStyle w:val="ListBullet"/>
      </w:pPr>
      <w:r>
        <w:t>the transferred content, code and design are not prohibited from transfer unless disclosed in Schedule 1;</w:t>
      </w:r>
    </w:p>
    <w:p>
      <w:pPr>
        <w:pStyle w:val="ListBullet"/>
      </w:pPr>
      <w:r>
        <w:t>the Seller is not aware of critical penalties, manual actions, blocks, viruses, hidden redirects, malicious code or other material issues, except those disclosed to the Buyer in writing;</w:t>
      </w:r>
    </w:p>
    <w:p>
      <w:pPr>
        <w:pStyle w:val="ListBullet"/>
      </w:pPr>
      <w:r>
        <w:t>traffic, revenue and other metrics provided to the Buyer before the deal were not artificially distorted by the Seller.</w:t>
      </w:r>
    </w:p>
    <w:p>
      <w:pPr>
        <w:pStyle w:val="Heading2"/>
      </w:pPr>
      <w:r>
        <w:t>7. Intellectual property and materials</w:t>
      </w:r>
    </w:p>
    <w:p>
      <w:r>
        <w:t>The Seller transfers to the Buyer the rights to use the transferred texts, images, design, code, logos, templates and other materials to the extent required to operate the project after the sale.</w:t>
      </w:r>
    </w:p>
    <w:p>
      <w:r>
        <w:t>If any material is used under a license, stock subscription, open-source terms or is not fully owned by the Seller, the Seller must disclose it in Schedule 1.</w:t>
      </w:r>
    </w:p>
    <w:p>
      <w:r>
        <w:t>If a third-party claim is received after the deal regarding materials created or published before the transfer, the Parties will exchange documents and information needed to resolve the claim. For large transactions, liability rules should be drafted by a lawyer.</w:t>
      </w:r>
    </w:p>
    <w:p>
      <w:pPr>
        <w:pStyle w:val="Heading2"/>
      </w:pPr>
      <w:r>
        <w:t>8. Post-sale support</w:t>
      </w:r>
    </w:p>
    <w:p>
      <w:r>
        <w:t>The Seller provides informational support to the Buyer for ____ calendar days after acceptance.</w:t>
      </w:r>
    </w:p>
    <w:p>
      <w:r>
        <w:t>Support includes answers about migration, CMS, hosting, ad blocks, affiliate programs, old settings, analytics and project operations.</w:t>
      </w:r>
    </w:p>
    <w:p>
      <w:r>
        <w:t>Support does not include free development of new features, content rewriting or SEO promotion unless otherwise agreed in writing.</w:t>
      </w:r>
    </w:p>
    <w:p>
      <w:pPr>
        <w:pStyle w:val="Heading2"/>
      </w:pPr>
      <w:r>
        <w:t>9. Confidentiality</w:t>
      </w:r>
    </w:p>
    <w:p>
      <w:r>
        <w:t>The Parties must not disclose the deal price, access details, analytics, revenue, databases, technical information or other commercial information obtained in connection with the deal, except where required for escrow, registrar, hosting, legal advice or compliance with law.</w:t>
      </w:r>
    </w:p>
    <w:p>
      <w:pPr>
        <w:pStyle w:val="Heading2"/>
      </w:pPr>
      <w:r>
        <w:t>10. Disputes and miscellaneous</w:t>
      </w:r>
    </w:p>
    <w:p>
      <w:r>
        <w:t>All disputes are first handled through escrow or written negotiations.</w:t>
      </w:r>
    </w:p>
    <w:p>
      <w:r>
        <w:t>Governing law and jurisdiction: ____________________________.</w:t>
      </w:r>
    </w:p>
    <w:p>
      <w:r>
        <w:t>Email, messenger or escrow-platform correspondence may be used as evidence of agreed terms if it identifies the Parties and the content of the agreement.</w:t>
      </w:r>
    </w:p>
    <w:p>
      <w:r>
        <w:t>The agreement is signed in two copies or electronically if the Parties agree to that format.</w:t>
      </w:r>
    </w:p>
    <w:p>
      <w:pPr>
        <w:pStyle w:val="Heading2"/>
      </w:pPr>
      <w:r>
        <w:t>11. Signatures</w:t>
      </w:r>
    </w:p>
    <w:tbl>
      <w:tblPr>
        <w:tblW w:type="auto" w:w="0"/>
        <w:jc w:val="center"/>
        <w:tblLook w:firstColumn="1" w:firstRow="1" w:lastColumn="0" w:lastRow="0" w:noHBand="0" w:noVBand="1" w:val="04A0"/>
      </w:tblPr>
      <w:tblGrid>
        <w:gridCol w:w="5112"/>
        <w:gridCol w:w="5112"/>
      </w:tblGrid>
      <w:tr>
        <w:tc>
          <w:tcPr>
            <w:tcW w:type="dxa" w:w="5112"/>
            <w:vAlign w:val="center"/>
            <w:shd w:fill="EAF1FF"/>
          </w:tcPr>
          <w:p>
            <w:r/>
            <w:r>
              <w:rPr>
                <w:b/>
              </w:rPr>
              <w:t>Seller</w:t>
            </w:r>
          </w:p>
        </w:tc>
        <w:tc>
          <w:tcPr>
            <w:tcW w:type="dxa" w:w="5112"/>
            <w:vAlign w:val="center"/>
            <w:shd w:fill="EAF1FF"/>
          </w:tcPr>
          <w:p>
            <w:r/>
            <w:r>
              <w:rPr>
                <w:b/>
              </w:rPr>
              <w:t>Buyer</w:t>
            </w:r>
          </w:p>
        </w:tc>
      </w:tr>
      <w:tr>
        <w:tc>
          <w:tcPr>
            <w:tcW w:type="dxa" w:w="5112"/>
            <w:vAlign w:val="center"/>
          </w:tcPr>
          <w:p>
            <w:r/>
            <w:r>
              <w:rPr>
                <w:b w:val="0"/>
              </w:rPr>
              <w:t>Name/entity: ____________________</w:t>
              <w:br/>
              <w:t>Signature: ____________________</w:t>
              <w:br/>
              <w:t>Date: ____________________</w:t>
            </w:r>
          </w:p>
        </w:tc>
        <w:tc>
          <w:tcPr>
            <w:tcW w:type="dxa" w:w="5112"/>
            <w:vAlign w:val="center"/>
          </w:tcPr>
          <w:p>
            <w:r/>
            <w:r>
              <w:rPr>
                <w:b w:val="0"/>
              </w:rPr>
              <w:t>Name/entity: ____________________</w:t>
              <w:br/>
              <w:t>Signature: ____________________</w:t>
              <w:br/>
              <w:t>Date: ____________________</w:t>
            </w:r>
          </w:p>
        </w:tc>
      </w:tr>
    </w:tbl>
    <w:p>
      <w:r>
        <w:br w:type="page"/>
      </w:r>
    </w:p>
    <w:p>
      <w:pPr>
        <w:pStyle w:val="Heading1"/>
      </w:pPr>
      <w:r>
        <w:t>Schedule 1. Transferred assets</w:t>
      </w:r>
    </w:p>
    <w:tbl>
      <w:tblPr>
        <w:tblStyle w:val="TableGrid"/>
        <w:tblW w:type="auto" w:w="0"/>
        <w:tblLook w:firstColumn="1" w:firstRow="1" w:lastColumn="0" w:lastRow="0" w:noHBand="0" w:noVBand="1" w:val="04A0"/>
      </w:tblPr>
      <w:tblGrid>
        <w:gridCol w:w="2556"/>
        <w:gridCol w:w="2556"/>
        <w:gridCol w:w="2556"/>
        <w:gridCol w:w="2556"/>
      </w:tblGrid>
      <w:tr>
        <w:tc>
          <w:tcPr>
            <w:tcW w:type="dxa" w:w="2556"/>
            <w:vAlign w:val="center"/>
            <w:shd w:fill="D9EAF7"/>
          </w:tcPr>
          <w:p>
            <w:r/>
            <w:r>
              <w:rPr>
                <w:b/>
              </w:rPr>
              <w:t>Asset</w:t>
            </w:r>
          </w:p>
        </w:tc>
        <w:tc>
          <w:tcPr>
            <w:tcW w:type="dxa" w:w="2556"/>
            <w:vAlign w:val="center"/>
            <w:shd w:fill="D9EAF7"/>
          </w:tcPr>
          <w:p>
            <w:r/>
            <w:r>
              <w:rPr>
                <w:b/>
              </w:rPr>
              <w:t>Transferred? Yes/No</w:t>
            </w:r>
          </w:p>
        </w:tc>
        <w:tc>
          <w:tcPr>
            <w:tcW w:type="dxa" w:w="2556"/>
            <w:vAlign w:val="center"/>
            <w:shd w:fill="D9EAF7"/>
          </w:tcPr>
          <w:p>
            <w:r/>
            <w:r>
              <w:rPr>
                <w:b/>
              </w:rPr>
              <w:t>Access/transfer method</w:t>
            </w:r>
          </w:p>
        </w:tc>
        <w:tc>
          <w:tcPr>
            <w:tcW w:type="dxa" w:w="2556"/>
            <w:vAlign w:val="center"/>
            <w:shd w:fill="D9EAF7"/>
          </w:tcPr>
          <w:p>
            <w:r/>
            <w:r>
              <w:rPr>
                <w:b/>
              </w:rPr>
              <w:t>Comment</w:t>
            </w:r>
          </w:p>
        </w:tc>
      </w:tr>
      <w:tr>
        <w:tc>
          <w:tcPr>
            <w:tcW w:type="dxa" w:w="2556"/>
            <w:vAlign w:val="center"/>
          </w:tcPr>
          <w:p>
            <w:r/>
            <w:r>
              <w:rPr>
                <w:b w:val="0"/>
              </w:rPr>
              <w:t>Domain</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Website files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Database</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CMS/admin panel</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Hosting/backup</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Theme/template</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Design/source files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Texts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Images/media</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Logo/brand</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Google Analytics/GA4</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Google Search Console</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Ad accounts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Affiliate accounts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Social accounts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Channels/communities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Email list</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Email service</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Monetization instructions</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r>
        <w:tc>
          <w:tcPr>
            <w:tcW w:type="dxa" w:w="2556"/>
            <w:vAlign w:val="center"/>
          </w:tcPr>
          <w:p>
            <w:r/>
            <w:r>
              <w:rPr>
                <w:b w:val="0"/>
              </w:rPr>
              <w:t>Post-sale support</w:t>
            </w:r>
          </w:p>
        </w:tc>
        <w:tc>
          <w:tcPr>
            <w:tcW w:type="dxa" w:w="2556"/>
            <w:vAlign w:val="center"/>
          </w:tcPr>
          <w:p>
            <w:r/>
            <w:r>
              <w:rPr>
                <w:b w:val="0"/>
              </w:rPr>
            </w:r>
          </w:p>
        </w:tc>
        <w:tc>
          <w:tcPr>
            <w:tcW w:type="dxa" w:w="2556"/>
            <w:vAlign w:val="center"/>
          </w:tcPr>
          <w:p>
            <w:r/>
            <w:r>
              <w:rPr>
                <w:b w:val="0"/>
              </w:rPr>
            </w:r>
          </w:p>
        </w:tc>
        <w:tc>
          <w:tcPr>
            <w:tcW w:type="dxa" w:w="2556"/>
            <w:vAlign w:val="center"/>
          </w:tcPr>
          <w:p>
            <w:r/>
            <w:r>
              <w:rPr>
                <w:b w:val="0"/>
              </w:rPr>
            </w:r>
          </w:p>
        </w:tc>
      </w:tr>
    </w:tbl>
    <w:p>
      <w:pPr>
        <w:pStyle w:val="Heading1"/>
      </w:pPr>
      <w:r>
        <w:t>Schedule 2. Acceptance act</w:t>
      </w:r>
    </w:p>
    <w:p>
      <w:r>
        <w:t>The Seller has transferred and the Buyer has accepted the project ____________________________ on the domain ____________________________ with the assets listed in Schedule 1.</w:t>
      </w:r>
    </w:p>
    <w:p>
      <w:r>
        <w:t>The Buyer has checked the website, domain, database, analytics and additional assets. Claims: none / listed here: ____________________________.</w:t>
      </w:r>
    </w:p>
    <w:p>
      <w:r>
        <w:t>Transfer date: ____________, 20__</w:t>
      </w:r>
    </w:p>
    <w:p>
      <w:r>
        <w:t>Seller: ____________________    Buyer: ____________________</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